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FE" w:rsidRPr="008862FE" w:rsidRDefault="008862FE" w:rsidP="008862F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Річна інформація емітента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 </w:t>
      </w: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2012</w:t>
      </w: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рік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1. Загальні відомості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2"/>
        <w:gridCol w:w="5032"/>
      </w:tblGrid>
      <w:tr w:rsidR="008862FE" w:rsidRPr="008862FE" w:rsidTr="00B329A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 Повне найменування емітента: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FA79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FA79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ублічне Акціонерне </w:t>
            </w:r>
            <w:proofErr w:type="spellStart"/>
            <w:r w:rsidR="00FA79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Товариство</w:t>
            </w: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Київське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автотранспортне 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пiдприємство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13061</w:t>
            </w:r>
          </w:p>
        </w:tc>
      </w:tr>
      <w:tr w:rsidR="008862FE" w:rsidRPr="008862FE" w:rsidTr="00B329A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1.2. Організаційно-правова форма: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Акціонерне товариство</w:t>
            </w:r>
          </w:p>
        </w:tc>
      </w:tr>
      <w:tr w:rsidR="008862FE" w:rsidRPr="008862FE" w:rsidTr="00B329A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 Місцезнаходження емітента: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вська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24, 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иїв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Голос</w:t>
            </w: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ївський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03022, 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proofErr w:type="spellEnd"/>
          </w:p>
        </w:tc>
      </w:tr>
      <w:tr w:rsidR="008862FE" w:rsidRPr="008862FE" w:rsidTr="00B329A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1.4. Ідентифікаційний код за ЄДРПОУ емітента: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05440979</w:t>
            </w:r>
          </w:p>
        </w:tc>
      </w:tr>
      <w:tr w:rsidR="008862FE" w:rsidRPr="008862FE" w:rsidTr="00B329A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1.5. Міжміський код та телефон: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257-43-90</w:t>
            </w:r>
          </w:p>
        </w:tc>
      </w:tr>
      <w:tr w:rsidR="008862FE" w:rsidRPr="008862FE" w:rsidTr="00B329A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1.6. Серія і номер свідоцтва про державну реєстрацію емітента: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Cерія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ААБ № 389639</w:t>
            </w:r>
          </w:p>
        </w:tc>
      </w:tr>
      <w:tr w:rsidR="008862FE" w:rsidRPr="008862FE" w:rsidTr="00B329A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 Дата 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15.05.1995</w:t>
            </w:r>
          </w:p>
        </w:tc>
      </w:tr>
      <w:tr w:rsidR="008862FE" w:rsidRPr="008862FE" w:rsidTr="00B329A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1.8. Адреса сторінки в мережі Інтернет, яка додатково використовується емітентом для розкриття інформації: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http://katp.avtologistika.com</w:t>
            </w:r>
          </w:p>
        </w:tc>
      </w:tr>
    </w:tbl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 Основні показники фінансово-господарської діяльності емітента - підприємства (тис. грн.)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50"/>
        <w:gridCol w:w="2649"/>
        <w:gridCol w:w="2372"/>
        <w:gridCol w:w="2364"/>
      </w:tblGrid>
      <w:tr w:rsidR="008862FE" w:rsidRPr="008862FE" w:rsidTr="00B329A9">
        <w:trPr>
          <w:cantSplit/>
        </w:trPr>
        <w:tc>
          <w:tcPr>
            <w:tcW w:w="5499" w:type="dxa"/>
            <w:gridSpan w:val="2"/>
            <w:vMerge w:val="restart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4736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Період</w:t>
            </w:r>
          </w:p>
        </w:tc>
      </w:tr>
      <w:tr w:rsidR="008862FE" w:rsidRPr="008862FE" w:rsidTr="00B329A9">
        <w:trPr>
          <w:cantSplit/>
        </w:trPr>
        <w:tc>
          <w:tcPr>
            <w:tcW w:w="5499" w:type="dxa"/>
            <w:gridSpan w:val="2"/>
            <w:vMerge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звітний</w:t>
            </w:r>
          </w:p>
        </w:tc>
        <w:tc>
          <w:tcPr>
            <w:tcW w:w="2364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попередній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 активів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242804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211593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засоби (за залишковою вартістю)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45963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74441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Довгострокові фінансові інвестиції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77796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22931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Запаси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5194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3897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дебіторська заборгованість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58965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62911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Грошові кошти та їх еквіваленти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385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562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Власний капітал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4941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4709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Статутний капітал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1405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1405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Нерозподілений прибуток (непокритий збиток)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-832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-1064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Довгострокові зобов'язання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225220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199995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зобов'язання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12643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4761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Чистий прибуток (збиток) на одну просту акцію (грн.)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1,73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0,39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Скоригований чистий прибуток (збиток) на одну просту акцію (грн.)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1,73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0,39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Середньорічна кількість простих акцій (шт.)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133810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8862FE" w:rsidRPr="008862FE" w:rsidTr="00B329A9">
        <w:trPr>
          <w:cantSplit/>
        </w:trPr>
        <w:tc>
          <w:tcPr>
            <w:tcW w:w="2850" w:type="dxa"/>
            <w:vMerge w:val="restart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 папери власних випусків, викуплені протягом звітного періоду</w:t>
            </w:r>
          </w:p>
        </w:tc>
        <w:tc>
          <w:tcPr>
            <w:tcW w:w="2649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номінальна вартість</w:t>
            </w:r>
          </w:p>
        </w:tc>
        <w:tc>
          <w:tcPr>
            <w:tcW w:w="2372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364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8862FE" w:rsidRPr="008862FE" w:rsidTr="00B329A9">
        <w:trPr>
          <w:cantSplit/>
        </w:trPr>
        <w:tc>
          <w:tcPr>
            <w:tcW w:w="2850" w:type="dxa"/>
            <w:vMerge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9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відсотках від статутного капіталу</w:t>
            </w:r>
          </w:p>
        </w:tc>
        <w:tc>
          <w:tcPr>
            <w:tcW w:w="2372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364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сума коштів, витрачених на викуп цінних паперів власних випусків протягом періоду</w:t>
            </w:r>
          </w:p>
        </w:tc>
        <w:tc>
          <w:tcPr>
            <w:tcW w:w="2372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364" w:type="dxa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8862FE" w:rsidRPr="008862FE" w:rsidTr="00B329A9">
        <w:tc>
          <w:tcPr>
            <w:tcW w:w="5499" w:type="dxa"/>
            <w:gridSpan w:val="2"/>
            <w:vAlign w:val="center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 чистих активів</w:t>
            </w:r>
          </w:p>
        </w:tc>
        <w:tc>
          <w:tcPr>
            <w:tcW w:w="2372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4941</w:t>
            </w:r>
          </w:p>
        </w:tc>
        <w:tc>
          <w:tcPr>
            <w:tcW w:w="2364" w:type="dxa"/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4709</w:t>
            </w:r>
          </w:p>
        </w:tc>
      </w:tr>
    </w:tbl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 Інформація про органи управління емітента, посадових осіб та його засновників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Інформація про органи управління емітента</w:t>
      </w:r>
    </w:p>
    <w:p w:rsidR="008862FE" w:rsidRPr="008862FE" w:rsidRDefault="00B329A9" w:rsidP="00B329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</w:pPr>
      <w:r w:rsidRPr="00B32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Органи управління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Наглядова Рада ,Правління,Ревізійна комісія.</w:t>
      </w:r>
    </w:p>
    <w:p w:rsid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Інформація про посадових осіб емітента </w:t>
      </w:r>
      <w:r w:rsidR="00B329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Голова ,члени Наглядової Ради</w:t>
      </w:r>
    </w:p>
    <w:p w:rsidR="008862FE" w:rsidRPr="008862FE" w:rsidRDefault="00B329A9" w:rsidP="00B329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Голова і члени Правління,Голова ревізійної комісії,Головний бухгалтер.</w:t>
      </w: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862FE" w:rsidRPr="008862FE" w:rsidRDefault="008862FE" w:rsidP="008862FE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Інформація про засновників та/або учасників емітента та кількість і вартість акцій (розміру часток, паїв)</w:t>
      </w:r>
    </w:p>
    <w:p w:rsidR="008862FE" w:rsidRPr="008862FE" w:rsidRDefault="008862FE" w:rsidP="008862FE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Юридичні ос</w:t>
      </w:r>
      <w:r w:rsidR="00B329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іб засновників немає.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Фізичні особи:</w:t>
      </w:r>
    </w:p>
    <w:p w:rsidR="008862FE" w:rsidRPr="00B329A9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367 фізичних осіб</w:t>
      </w: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 74% від загальної кількості акцій (часток, паїв).</w:t>
      </w:r>
    </w:p>
    <w:p w:rsidR="008862FE" w:rsidRPr="00B329A9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62FE" w:rsidRPr="008862FE" w:rsidRDefault="008862FE" w:rsidP="008862FE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Інформація</w:t>
      </w:r>
      <w:proofErr w:type="spellEnd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цінні</w:t>
      </w:r>
      <w:proofErr w:type="spellEnd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папери</w:t>
      </w:r>
      <w:proofErr w:type="spellEnd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емітента</w:t>
      </w:r>
      <w:proofErr w:type="spellEnd"/>
    </w:p>
    <w:p w:rsidR="008862FE" w:rsidRPr="008862FE" w:rsidRDefault="008862FE" w:rsidP="008862F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Інформація</w:t>
      </w:r>
      <w:proofErr w:type="spellEnd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випуски</w:t>
      </w:r>
      <w:proofErr w:type="spellEnd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акцій</w:t>
      </w:r>
      <w:proofErr w:type="spellEnd"/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Випуск зареєстровано 26.10.2010 року, номер свідоцтва про реєстрацію випуску - 544/10/1/10, орган, що зареєстрував випуск -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Управлiння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Державної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комiсiї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цiнних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паперiв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фондового ринку в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м.Києвi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Київськiй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обл., код цінного папера - UA4000095905, тип цінного папера – Акція проста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бездокументарна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іменна, форма існування та форма випуску -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Бездокументарні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іменні,  номінальною вартістю 10,5 грн. у кількості 133810 штук, загальною номінальною вартістю 1405005 грн., що складає 100% у статутному капіталі.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.Цінні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папери емітента на організаційних ринках не 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обертаються.Заяви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включення  цінних паперів до лістингу емітента не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надавались.Обіг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цінних паперів здійснюється  тільки на внутрішньому ринку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України.Товариство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здійснило лише випуск простих іменних акцій. Інші цінні папери Товариством не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випускались.Додаткової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ємісії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було.</w:t>
      </w:r>
    </w:p>
    <w:p w:rsidR="008862FE" w:rsidRPr="00F53265" w:rsidRDefault="008862FE" w:rsidP="00B329A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Процентні облігації</w:t>
      </w:r>
      <w:r w:rsidR="00B329A9"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не випускались.</w:t>
      </w:r>
    </w:p>
    <w:p w:rsidR="008862FE" w:rsidRPr="00F53265" w:rsidRDefault="008862FE" w:rsidP="008862F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Дисконтні облігації </w:t>
      </w:r>
      <w:r w:rsidR="00B329A9"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не випускались.</w:t>
      </w:r>
    </w:p>
    <w:p w:rsidR="008862FE" w:rsidRPr="00F53265" w:rsidRDefault="008862FE" w:rsidP="008862F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Цільові (безпроцентні) облігації</w:t>
      </w:r>
      <w:r w:rsidR="00B329A9"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не випускались.</w:t>
      </w:r>
    </w:p>
    <w:p w:rsidR="00B329A9" w:rsidRPr="00F53265" w:rsidRDefault="00B329A9" w:rsidP="00B329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</w:t>
      </w:r>
      <w:r w:rsidR="008862FE"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нші цінні папери</w:t>
      </w:r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не випускались.</w:t>
      </w:r>
    </w:p>
    <w:p w:rsidR="00B329A9" w:rsidRPr="00F53265" w:rsidRDefault="00B329A9" w:rsidP="00B329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Похідні цінні папери не випускались.</w:t>
      </w:r>
    </w:p>
    <w:p w:rsidR="00F53265" w:rsidRPr="00F53265" w:rsidRDefault="00F53265" w:rsidP="00F53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Цінні папери не </w:t>
      </w:r>
      <w:proofErr w:type="spellStart"/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вскючені</w:t>
      </w:r>
      <w:proofErr w:type="spellEnd"/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до лістингу на фондовій біржі.</w:t>
      </w:r>
    </w:p>
    <w:p w:rsidR="00F53265" w:rsidRDefault="00F53265" w:rsidP="00F53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Інформація про зміни особи ,яка веде облік прав власності на цінні папери емітента у депозитарній системі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України-змін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не було.</w:t>
      </w:r>
    </w:p>
    <w:p w:rsidR="00FA79C9" w:rsidRDefault="00F53265" w:rsidP="00F53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532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Зберігач ТОВ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Фондова компанія «Трансферт» здійснює професійну діяльність зберігача цінних паперів 01133 м Київ вул. Щорса 32-в оф.112-113код ЄДРПОУ 37001565,номер ліцензії АВ-520534,видана 02.04.2010р.Державною комісією з цінних паперів та фондового ринку,</w:t>
      </w:r>
      <w:r w:rsidR="00321972" w:rsidRP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тел.(044)4960386, </w:t>
      </w:r>
      <w:r w:rsidR="00FA79C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Депозитарій -</w:t>
      </w:r>
      <w:r w:rsid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Приватне</w:t>
      </w:r>
      <w:r w:rsid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Акціонерне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Товариство»Всеукраїнський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депозитарій з цінних паперів»</w:t>
      </w:r>
      <w:r w:rsid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код ЄДРПОУ </w:t>
      </w:r>
      <w:r w:rsid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35917889, 04107 </w:t>
      </w:r>
      <w:proofErr w:type="spellStart"/>
      <w:r w:rsid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м.Київ</w:t>
      </w:r>
      <w:proofErr w:type="spellEnd"/>
      <w:r w:rsid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,</w:t>
      </w:r>
      <w:proofErr w:type="spellStart"/>
      <w:r w:rsid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вул..Тропініна</w:t>
      </w:r>
      <w:proofErr w:type="spellEnd"/>
      <w:r w:rsid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буд.7-г ,ліцензія АВ № 498004 видана 19.11.2009р. Державною комісією з цінних паперів та фондового ринку,тел.</w:t>
      </w:r>
    </w:p>
    <w:p w:rsidR="00F53265" w:rsidRPr="00321972" w:rsidRDefault="00321972" w:rsidP="00F53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585-42-40</w:t>
      </w:r>
      <w:r w:rsidR="00FA79C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,</w:t>
      </w:r>
      <w:r w:rsidRP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Договір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ведення рахунку </w:t>
      </w:r>
      <w:r w:rsidR="0074269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</w:t>
      </w:r>
      <w:r w:rsidRPr="003219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2725/0 від 09.12.2010р.</w:t>
      </w:r>
    </w:p>
    <w:p w:rsidR="008862FE" w:rsidRPr="008862FE" w:rsidRDefault="008862FE" w:rsidP="0085356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 Інформація про загальні збори</w:t>
      </w:r>
      <w:r w:rsidRPr="008862F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 загальних зборів</w:t>
      </w:r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A79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чергові.</w:t>
      </w: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Дата проведення: 23.04.2012</w:t>
      </w:r>
      <w:r w:rsidRPr="00886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року. Кворум зборів: 97,1445% до загальної кількості голосів. У звітному періоді були проведені чергові загальні збори,порядок денний був сформований  Наглядовою радою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Товариства.Пропозиції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включення питань до порядку денного не надходили.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1.Обрання лічильної комісії,голови та секретаря зборів,затвердження регламенту проведення зборів.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2..Звiт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Правлiння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ПАТ КАТП 13061  та затвердження  результатів 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фiнансово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-господарської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дiяльностi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за 2011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рiк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.Прийняття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за наслідками розгляду звіту Правління.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3.Звiт Наглядової Ради про результати фінансово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-господарської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 за 2011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рік.Прийняття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за наслідками розгляду звіту Наглядової Ради Товариства.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4.Звiту та висновки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ревiзiйної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комiсiї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стосовно  фінансової звітності Товариства за 2011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рiк.Прийняття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за наслідками розгляду звіту та висновків ревізійної комісії.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5.Затвердження фінансової звітності Товариства за  2011 рік..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6.Затвердження нової редакції Статуту Товариства.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7.Прийняття рішення про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попередне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схвалення значних правочинів..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розгляду питань  порядку денного були прийняті рішення:Затвердити звіт Правління про результати фінансово господарської діяльності  за 2011 рік..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звіт Наглядової  Ради про результати фінансово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-господарської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за 2011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рік..Затвердити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звіт та висновки ревізійної комісії ПАТ стосовно  фінансової  звітності Товариства за 2011 рік.,Затвер</w:t>
      </w:r>
      <w:r w:rsidR="008535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</w:t>
      </w: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Фінансову звітність Товариства за 2011 рік,Затвердити Статут в новій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редакції</w:t>
      </w:r>
      <w:r w:rsidR="008535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підставі положень ч.3 ст.70 Закону України "Про акціонерні товариства" попередньо схвалити вчинення значних правочинів щодо передачі в заставу ,іпотеку продажу майна товариства,вартість якого не перевищує 95 відсотків вартості активів товариства за даними останньої річної фінансової звітності акціонерного товариства..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питань ,що розглядалися на зборах пропозиції не подавались</w:t>
      </w:r>
      <w:r w:rsidR="008535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Позачергові збори в звітному періоді не скликались і не проводились.</w:t>
      </w:r>
    </w:p>
    <w:p w:rsidR="008862FE" w:rsidRPr="0085356F" w:rsidRDefault="008862FE" w:rsidP="0085356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7. </w:t>
      </w:r>
      <w:r w:rsidRPr="008535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Інформація про дивіденди </w:t>
      </w:r>
      <w:proofErr w:type="spellStart"/>
      <w:r w:rsidR="0085356F" w:rsidRPr="008535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–дивіденди</w:t>
      </w:r>
      <w:proofErr w:type="spellEnd"/>
      <w:r w:rsidR="00FA79C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85356F" w:rsidRPr="008535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не нараховувались та не</w:t>
      </w:r>
      <w:r w:rsidR="0085356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85356F" w:rsidRPr="008535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виплачувались.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32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Інформація щодо аудиторського висновку</w:t>
      </w:r>
    </w:p>
    <w:p w:rsidR="008862FE" w:rsidRPr="0085356F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про аудитора (аудиторську фірму), який здійснив аудиторську перевірку емітента:</w:t>
      </w:r>
    </w:p>
    <w:p w:rsidR="008862FE" w:rsidRPr="008862FE" w:rsidRDefault="008862FE" w:rsidP="008C29D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5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Семененко Петро Федорович</w:t>
      </w:r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за ЄДРПОУ </w:t>
      </w:r>
      <w:r w:rsidRPr="008C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C29DD">
        <w:rPr>
          <w:rFonts w:ascii="Times New Roman" w:eastAsia="Times New Roman" w:hAnsi="Times New Roman" w:cs="Times New Roman"/>
          <w:sz w:val="24"/>
          <w:szCs w:val="24"/>
          <w:lang w:eastAsia="ru-RU"/>
        </w:rPr>
        <w:t>1696504154</w:t>
      </w:r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організаційно-правова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форма: </w:t>
      </w:r>
      <w:proofErr w:type="spellStart"/>
      <w:proofErr w:type="gram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ідприємець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особа.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Іскрівська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20/1,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иїв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Солом"янський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Київська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03087. </w:t>
      </w: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Аудитор</w:t>
      </w:r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№ 000208,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видана: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Аудиторська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палата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13.12.2007 року.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 (044)285-74-51, факс: (044)285-74-51.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: Аудитор (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</w:t>
      </w:r>
      <w:proofErr w:type="gram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фiрмa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якa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аудиторськi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емiтенту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Аудитором  проведено аудит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 КАТП 13061 за 2012 </w:t>
      </w:r>
      <w:proofErr w:type="spellStart"/>
      <w:proofErr w:type="gram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стандартах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Загальний висновок аудитора (аудиторської фірми):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Висновок аудитора про  перевірку фінансової звітності.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Аудиторська  перевірка  проведена згідно  з  Міжнародними стандартами аудиту (№700, 701, 705,706,720, 800 та  інших).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Аудиторська перевірка планувалась і здійснена, щоб одержати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обгрунтовану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впевненість в тому, що фінансові звіти не містять суттєвих викривлень. 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Аудиторська перевірка оцінювала застосування принципів бухгалтерського обліку та суттєвих облікових оцінок, здійснених управлінським персоналом, а також оцінювання надання звітів у цілому.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Аудитор вважає, що зібраної під час перевірки інформації достатньо для  підтвердження правильності та адекватності визначення власного капіталу, його структури та призначення, реальності розміру зобов'язань у фінансовій звітності, підтвердження факту інвентаризації зобов'язань за звітний період, відповідності даних фінансової звітності даним обліку та відповідності даних окремих форм звітності один одному.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Перевірка надає </w:t>
      </w: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обгрунтовану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підставу для висловлення думки: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-фінансові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звіти справедливо й достовірно відображають фінансовий стан АТ КАТП 13061 станом на 31 грудня 2012р., результат діяльності і рух грошових коштів  за  2012р.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-Товариство</w:t>
      </w:r>
      <w:proofErr w:type="spellEnd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усіх суттєвих аспектах виконало контрактні угоди щодо дотримання принципів бухгалтерського обліку і фінансової звітності, станом на  31 грудня 2012р.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Аудитор підтверджує реальність та відповідність статей балансу з валютою балансу 242804т.грн., достовірність </w:t>
      </w:r>
      <w:r w:rsidR="00FA79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Звіту про фінансовий стан,</w:t>
      </w:r>
      <w:r w:rsidR="00774E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Звіту про прибутки та убутки. </w:t>
      </w: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Звіту про фінансові результати, Звіту про рух грошових коштів, Звіту про власний капітал та  Приміток до річної фінансової звітності </w:t>
      </w:r>
      <w:bookmarkStart w:id="0" w:name="_GoBack"/>
      <w:bookmarkEnd w:id="0"/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 КАТП 13061 і відповідність форм фінансової звітності одна одній. Фінансові звіти справедливо та достовірно відображають інформацію згідно з визначеною концептуальною основою фінансової звітності та відповідають вимогам законодавства.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Аудитор висловив безумовно-позитивну думку щодо фінансових звітів, на підставі яких складено узагальнені фінансові звіти.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9. Інформація щодо дати розміщення повного тексту річної інформації у загальнодоступній інформаційній базі даних Комісії та іншого оприлюднення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94"/>
        <w:gridCol w:w="3236"/>
        <w:gridCol w:w="1379"/>
        <w:gridCol w:w="236"/>
        <w:gridCol w:w="2076"/>
      </w:tblGrid>
      <w:tr w:rsidR="008862FE" w:rsidRPr="008862FE" w:rsidTr="00B329A9">
        <w:trPr>
          <w:cantSplit/>
          <w:trHeight w:val="360"/>
        </w:trPr>
        <w:tc>
          <w:tcPr>
            <w:tcW w:w="81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Річна інформація розміщена у загальнодоступній інформаційній базі даних Комісії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25.04.2013</w:t>
            </w:r>
          </w:p>
        </w:tc>
      </w:tr>
      <w:tr w:rsidR="008862FE" w:rsidRPr="008862FE" w:rsidTr="00B329A9">
        <w:trPr>
          <w:cantSplit/>
          <w:trHeight w:val="180"/>
        </w:trPr>
        <w:tc>
          <w:tcPr>
            <w:tcW w:w="81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(дата)</w:t>
            </w:r>
          </w:p>
        </w:tc>
      </w:tr>
      <w:tr w:rsidR="008862FE" w:rsidRPr="008862FE" w:rsidTr="00B329A9">
        <w:trPr>
          <w:cantSplit/>
          <w:trHeight w:val="330"/>
        </w:trPr>
        <w:tc>
          <w:tcPr>
            <w:tcW w:w="35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Річна інформація розміщена на сторінці (за наявності)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http://katp.avtologistika.com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мережі Інтернет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25.04.2013</w:t>
            </w:r>
          </w:p>
        </w:tc>
      </w:tr>
      <w:tr w:rsidR="008862FE" w:rsidRPr="008862FE" w:rsidTr="00B329A9">
        <w:trPr>
          <w:cantSplit/>
          <w:trHeight w:val="120"/>
        </w:trPr>
        <w:tc>
          <w:tcPr>
            <w:tcW w:w="35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(адреса сторінки)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(дата)</w:t>
            </w:r>
          </w:p>
        </w:tc>
      </w:tr>
    </w:tbl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862FE" w:rsidRPr="008862FE" w:rsidRDefault="008862FE" w:rsidP="008862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</w:t>
      </w: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Pr="00886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Підпис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8862F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86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Особа, зазначена нижче, підтверджує достовірність наведеної інформації та визнає, що вона несе відповідальність згідно з законодавством.</w:t>
      </w:r>
    </w:p>
    <w:p w:rsidR="008862FE" w:rsidRPr="008862FE" w:rsidRDefault="008862FE" w:rsidP="008862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3300"/>
        <w:gridCol w:w="360"/>
        <w:gridCol w:w="2340"/>
        <w:gridCol w:w="236"/>
        <w:gridCol w:w="3896"/>
      </w:tblGrid>
      <w:tr w:rsidR="008862FE" w:rsidRPr="008862FE" w:rsidTr="00B329A9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10.2.</w:t>
            </w: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Голова </w:t>
            </w: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правлiння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Єпішов</w:t>
            </w:r>
            <w:proofErr w:type="spellEnd"/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Андрій Вікторович</w:t>
            </w:r>
          </w:p>
        </w:tc>
      </w:tr>
      <w:tr w:rsidR="008862FE" w:rsidRPr="008862FE" w:rsidTr="00B329A9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(найменування посади)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(підпис)</w:t>
            </w:r>
          </w:p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(ініціали та прізвище керівника)</w:t>
            </w:r>
          </w:p>
        </w:tc>
      </w:tr>
      <w:tr w:rsidR="008862FE" w:rsidRPr="008862FE" w:rsidTr="00B329A9">
        <w:trPr>
          <w:cantSplit/>
          <w:trHeight w:val="345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П.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25.04.2013</w:t>
            </w:r>
          </w:p>
        </w:tc>
      </w:tr>
      <w:tr w:rsidR="008862FE" w:rsidRPr="008862FE" w:rsidTr="00B329A9">
        <w:trPr>
          <w:cantSplit/>
          <w:trHeight w:val="197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2FE" w:rsidRPr="008862FE" w:rsidRDefault="008862FE" w:rsidP="008862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2F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(дата)</w:t>
            </w:r>
          </w:p>
        </w:tc>
      </w:tr>
    </w:tbl>
    <w:p w:rsidR="00B329A9" w:rsidRDefault="00B329A9" w:rsidP="008C29DD"/>
    <w:sectPr w:rsidR="00B329A9">
      <w:footerReference w:type="first" r:id="rId7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C9" w:rsidRDefault="00FA79C9">
      <w:pPr>
        <w:spacing w:after="0" w:line="240" w:lineRule="auto"/>
      </w:pPr>
      <w:r>
        <w:separator/>
      </w:r>
    </w:p>
  </w:endnote>
  <w:endnote w:type="continuationSeparator" w:id="0">
    <w:p w:rsidR="00FA79C9" w:rsidRDefault="00FA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C9" w:rsidRDefault="00FA79C9">
    <w:pPr>
      <w:pStyle w:val="a3"/>
      <w:rPr>
        <w:sz w:val="20"/>
        <w:szCs w:val="20"/>
      </w:rPr>
    </w:pPr>
    <w:r>
      <w:rPr>
        <w:sz w:val="20"/>
        <w:szCs w:val="20"/>
        <w:lang w:val="en-US"/>
      </w:rPr>
      <w:t xml:space="preserve">2012 </w:t>
    </w:r>
    <w:r>
      <w:rPr>
        <w:sz w:val="20"/>
        <w:szCs w:val="20"/>
      </w:rPr>
      <w:t xml:space="preserve">р. </w:t>
    </w:r>
    <w:r>
      <w:rPr>
        <w:sz w:val="20"/>
        <w:szCs w:val="20"/>
        <w:lang w:val="en-US"/>
      </w:rPr>
      <w:sym w:font="Symbol" w:char="F0D3"/>
    </w:r>
    <w:r>
      <w:rPr>
        <w:sz w:val="20"/>
        <w:szCs w:val="20"/>
        <w:lang w:val="en-US"/>
      </w:rPr>
      <w:t>SMA 05440979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C9" w:rsidRDefault="00FA79C9">
      <w:pPr>
        <w:spacing w:after="0" w:line="240" w:lineRule="auto"/>
      </w:pPr>
      <w:r>
        <w:separator/>
      </w:r>
    </w:p>
  </w:footnote>
  <w:footnote w:type="continuationSeparator" w:id="0">
    <w:p w:rsidR="00FA79C9" w:rsidRDefault="00FA7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FE"/>
    <w:rsid w:val="00260BE6"/>
    <w:rsid w:val="00321972"/>
    <w:rsid w:val="0074269B"/>
    <w:rsid w:val="00774E61"/>
    <w:rsid w:val="0085356F"/>
    <w:rsid w:val="008862FE"/>
    <w:rsid w:val="008C29DD"/>
    <w:rsid w:val="00B329A9"/>
    <w:rsid w:val="00B54460"/>
    <w:rsid w:val="00EF6123"/>
    <w:rsid w:val="00F53265"/>
    <w:rsid w:val="00FA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6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862F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6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862F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Avtologistika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Лукашевич Валентина</dc:creator>
  <cp:keywords/>
  <dc:description/>
  <cp:lastModifiedBy>Лукашевич Валентина</cp:lastModifiedBy>
  <cp:revision>4</cp:revision>
  <dcterms:created xsi:type="dcterms:W3CDTF">2013-04-25T13:10:00Z</dcterms:created>
  <dcterms:modified xsi:type="dcterms:W3CDTF">2013-04-25T14:46:00Z</dcterms:modified>
</cp:coreProperties>
</file>